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8A5FEE">
        <w:rPr>
          <w:rFonts w:ascii="Times New Roman" w:hAnsi="Times New Roman"/>
          <w:b/>
          <w:bCs/>
          <w:color w:val="000000"/>
          <w:sz w:val="24"/>
          <w:szCs w:val="24"/>
        </w:rPr>
        <w:t>Целинного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EE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A5FEE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8A5FEE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8A5FEE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  <w:proofErr w:type="gramEnd"/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8A5FEE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>Перечень должностных лиц</w:t>
      </w:r>
      <w:proofErr w:type="gramStart"/>
      <w:r>
        <w:rPr>
          <w:rFonts w:ascii="Times New Roman" w:hAnsi="Times New Roman"/>
          <w:b/>
          <w:bCs/>
        </w:rPr>
        <w:t xml:space="preserve">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Целинного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67"/>
        <w:gridCol w:w="3409"/>
        <w:gridCol w:w="2246"/>
        <w:gridCol w:w="3349"/>
      </w:tblGrid>
      <w:tr w:rsidR="008A5FEE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8A5FEE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8" w:rsidRDefault="00C52CC8" w:rsidP="00C52CC8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(84575) 3-</w:t>
            </w:r>
            <w:r w:rsidR="008A5FEE"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44-</w:t>
            </w: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  <w:p w:rsidR="006642E7" w:rsidRDefault="008A5FEE" w:rsidP="00C52CC8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Style w:val="name4"/>
                <w:sz w:val="24"/>
                <w:szCs w:val="24"/>
                <w:lang w:val="en-US"/>
              </w:rPr>
              <w:t>bespalko_marina1990</w:t>
            </w:r>
            <w:r w:rsidR="00C52CC8">
              <w:rPr>
                <w:b/>
                <w:sz w:val="24"/>
                <w:szCs w:val="24"/>
              </w:rPr>
              <w:t>@</w:t>
            </w:r>
            <w:r w:rsidR="00C52CC8">
              <w:rPr>
                <w:b/>
                <w:sz w:val="24"/>
                <w:szCs w:val="24"/>
                <w:lang w:val="en-US"/>
              </w:rPr>
              <w:t>mail</w:t>
            </w:r>
            <w:r w:rsidR="00C52CC8">
              <w:rPr>
                <w:b/>
                <w:sz w:val="24"/>
                <w:szCs w:val="24"/>
              </w:rPr>
              <w:t>.</w:t>
            </w:r>
            <w:proofErr w:type="spellStart"/>
            <w:r w:rsidR="00C52CC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hAnsi="Times New Roman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hAnsi="Times New Roman"/>
        </w:rPr>
        <w:t xml:space="preserve">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color w:val="000000"/>
          <w:spacing w:val="-4"/>
          <w:shd w:val="clear" w:color="auto" w:fill="FFFFFF"/>
        </w:rPr>
        <w:t>Целинного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8A5FEE">
        <w:rPr>
          <w:rFonts w:ascii="Times New Roman" w:hAnsi="Times New Roman"/>
        </w:rPr>
        <w:t>Целинного</w:t>
      </w:r>
      <w:r>
        <w:rPr>
          <w:rFonts w:ascii="Times New Roman" w:hAnsi="Times New Roman"/>
        </w:rPr>
        <w:t xml:space="preserve"> 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DF2FBC" w:rsidRDefault="00DF2FBC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DF2FBC" w:rsidRDefault="00DF2FBC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8A5FEE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Целинного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r w:rsidR="008A5FEE">
        <w:rPr>
          <w:rFonts w:ascii="Times New Roman" w:hAnsi="Times New Roman"/>
          <w:b/>
          <w:bCs/>
        </w:rPr>
        <w:t>Целинного</w:t>
      </w:r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Layout w:type="fixed"/>
        <w:tblLook w:val="04A0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8A5FEE">
              <w:rPr>
                <w:color w:val="000000"/>
                <w:sz w:val="20"/>
                <w:szCs w:val="20"/>
                <w:lang w:eastAsia="en-US"/>
              </w:rPr>
              <w:t>Целинного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8A5FEE">
              <w:rPr>
                <w:rFonts w:ascii="Times New Roman" w:hAnsi="Times New Roman"/>
                <w:color w:val="000000"/>
                <w:sz w:val="20"/>
                <w:szCs w:val="20"/>
              </w:rPr>
              <w:t>Целинного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8A5FEE">
              <w:rPr>
                <w:rFonts w:ascii="Times New Roman" w:hAnsi="Times New Roman"/>
                <w:color w:val="000000"/>
                <w:sz w:val="20"/>
                <w:szCs w:val="20"/>
              </w:rPr>
              <w:t>Целинного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 w:rsidSect="000D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7B"/>
    <w:rsid w:val="000D7FDA"/>
    <w:rsid w:val="00371CAE"/>
    <w:rsid w:val="006471EC"/>
    <w:rsid w:val="006642E7"/>
    <w:rsid w:val="008A5FEE"/>
    <w:rsid w:val="00B03A7B"/>
    <w:rsid w:val="00C52CC8"/>
    <w:rsid w:val="00D25D7D"/>
    <w:rsid w:val="00DF2FBC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4">
    <w:name w:val="name4"/>
    <w:basedOn w:val="a0"/>
    <w:rsid w:val="00C52CC8"/>
    <w:rPr>
      <w:b/>
      <w:bCs/>
      <w:color w:val="0030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2023-10-06T07:22:00Z</dcterms:created>
  <dcterms:modified xsi:type="dcterms:W3CDTF">2023-10-09T07:40:00Z</dcterms:modified>
</cp:coreProperties>
</file>